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2018年度新疆喀什地区英吉沙县财政局部门决算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1、贯彻执行国家有关财政分配政策。</w:t>
      </w:r>
      <w:r>
        <w:rPr>
          <w:rFonts w:hint="eastAsia" w:ascii="仿宋_GB2312" w:eastAsia="仿宋_GB2312"/>
          <w:sz w:val="32"/>
          <w:szCs w:val="32"/>
        </w:rPr>
        <w:br w:type="textWrapping"/>
      </w:r>
      <w:r>
        <w:rPr>
          <w:rFonts w:hint="eastAsia" w:ascii="仿宋_GB2312" w:eastAsia="仿宋_GB2312"/>
          <w:sz w:val="32"/>
          <w:szCs w:val="32"/>
        </w:rPr>
        <w:t xml:space="preserve">    2、拟订和执行县财政分配政策,管理本县公共支出。</w:t>
      </w:r>
      <w:r>
        <w:rPr>
          <w:rFonts w:hint="eastAsia" w:ascii="仿宋_GB2312" w:eastAsia="仿宋_GB2312"/>
          <w:sz w:val="32"/>
          <w:szCs w:val="32"/>
        </w:rPr>
        <w:br w:type="textWrapping"/>
      </w:r>
      <w:r>
        <w:rPr>
          <w:rFonts w:hint="eastAsia" w:ascii="仿宋_GB2312" w:eastAsia="仿宋_GB2312"/>
          <w:sz w:val="32"/>
          <w:szCs w:val="32"/>
        </w:rPr>
        <w:t xml:space="preserve">    3、制定行政、事业单位开支标准和支出政策。</w:t>
      </w:r>
      <w:r>
        <w:rPr>
          <w:rFonts w:hint="eastAsia" w:ascii="仿宋_GB2312" w:eastAsia="仿宋_GB2312"/>
          <w:sz w:val="32"/>
          <w:szCs w:val="32"/>
        </w:rPr>
        <w:br w:type="textWrapping"/>
      </w:r>
      <w:r>
        <w:rPr>
          <w:rFonts w:hint="eastAsia" w:ascii="仿宋_GB2312" w:eastAsia="仿宋_GB2312"/>
          <w:sz w:val="32"/>
          <w:szCs w:val="32"/>
        </w:rPr>
        <w:t xml:space="preserve">    4、负责管理本县会计工作，监督会计规章制度的执行情况。</w:t>
      </w:r>
      <w:r>
        <w:rPr>
          <w:rFonts w:hint="eastAsia" w:ascii="仿宋_GB2312" w:eastAsia="仿宋_GB2312"/>
          <w:sz w:val="32"/>
          <w:szCs w:val="32"/>
        </w:rPr>
        <w:br w:type="textWrapping"/>
      </w:r>
      <w:r>
        <w:rPr>
          <w:rFonts w:hint="eastAsia" w:ascii="仿宋_GB2312" w:eastAsia="仿宋_GB2312"/>
          <w:sz w:val="32"/>
          <w:szCs w:val="32"/>
        </w:rPr>
        <w:t xml:space="preserve">    5、完成县政府交办的其他事项。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新疆喀什地区英吉沙县财政局</w:t>
      </w:r>
      <w:r>
        <w:rPr>
          <w:rFonts w:hint="eastAsia" w:ascii="仿宋_GB2312" w:eastAsia="仿宋_GB2312"/>
          <w:sz w:val="32"/>
          <w:szCs w:val="32"/>
        </w:rPr>
        <w:t>部门决算包括：</w:t>
      </w:r>
      <w:r>
        <w:rPr>
          <w:rFonts w:ascii="仿宋_GB2312" w:eastAsia="仿宋_GB2312"/>
          <w:sz w:val="32"/>
          <w:szCs w:val="32"/>
        </w:rPr>
        <w:t>新疆喀什地区英吉沙县财政局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新疆喀什地区英吉沙县财政局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新疆喀什地区英吉沙县财政局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2,406.72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，与上年相比，减少19,458.95万元，下降88.99%，减少的主要原因是：</w:t>
      </w:r>
      <w:r>
        <w:rPr>
          <w:rFonts w:hint="eastAsia" w:ascii="仿宋_GB2312" w:eastAsia="仿宋_GB2312"/>
          <w:color w:val="000000" w:themeColor="text1"/>
          <w:sz w:val="32"/>
          <w:szCs w:val="32"/>
        </w:rPr>
        <w:t>单位能够严格执行中央八项规定及自治区十项规定要求，厉行勤俭节约。同时财政所18人调入乡镇；</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2,406.72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，与上年相比，减少19,458.95万元，下降88.99%，减少的主要原因是：</w:t>
      </w:r>
      <w:r>
        <w:rPr>
          <w:rFonts w:hint="eastAsia" w:ascii="仿宋_GB2312" w:eastAsia="仿宋_GB2312"/>
          <w:color w:val="000000" w:themeColor="text1"/>
          <w:sz w:val="32"/>
          <w:szCs w:val="32"/>
        </w:rPr>
        <w:t>单位能够严格执行中央八项规定及自治区十项规定要求，厉行勤俭节约。同时财政所18人调入乡镇</w:t>
      </w:r>
      <w:bookmarkEnd w:id="7"/>
      <w:bookmarkStart w:id="8" w:name="OLE_LINK54"/>
      <w:r>
        <w:rPr>
          <w:rFonts w:ascii="仿宋_GB2312" w:eastAsia="仿宋_GB2312"/>
          <w:color w:val="000000" w:themeColor="text1"/>
          <w:sz w:val="32"/>
          <w:szCs w:val="32"/>
        </w:rPr>
        <w:t>。</w:t>
      </w:r>
      <w:bookmarkEnd w:id="8"/>
      <w:r>
        <w:rPr>
          <w:rFonts w:hint="eastAsia" w:ascii="仿宋_GB2312" w:eastAsia="仿宋_GB2312"/>
          <w:sz w:val="32"/>
          <w:szCs w:val="32"/>
        </w:rPr>
        <w:t>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%。增减变化主要原因是：</w:t>
      </w:r>
      <w:r>
        <w:rPr>
          <w:rFonts w:ascii="仿宋_GB2312" w:eastAsia="仿宋_GB2312"/>
          <w:color w:val="000000" w:themeColor="text1"/>
          <w:sz w:val="32"/>
          <w:szCs w:val="32"/>
        </w:rPr>
        <w:t>项目实施到位，未产生结余。</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2,406.72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1,730.18</w:t>
      </w:r>
      <w:r>
        <w:rPr>
          <w:rFonts w:hint="eastAsia" w:ascii="仿宋_GB2312" w:eastAsia="仿宋_GB2312"/>
          <w:color w:val="000000" w:themeColor="text1"/>
          <w:sz w:val="32"/>
          <w:szCs w:val="32"/>
        </w:rPr>
        <w:t>万元，占</w:t>
      </w:r>
      <w:r>
        <w:rPr>
          <w:rFonts w:hint="eastAsia" w:ascii="仿宋_GB2312" w:eastAsia="仿宋_GB2312"/>
          <w:sz w:val="32"/>
          <w:szCs w:val="32"/>
        </w:rPr>
        <w:t>71.89%</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676.54</w:t>
      </w:r>
      <w:r>
        <w:rPr>
          <w:rFonts w:hint="eastAsia" w:ascii="仿宋_GB2312" w:eastAsia="仿宋_GB2312"/>
          <w:color w:val="000000" w:themeColor="text1"/>
          <w:sz w:val="32"/>
          <w:szCs w:val="32"/>
        </w:rPr>
        <w:t>万元，占</w:t>
      </w:r>
      <w:r>
        <w:rPr>
          <w:rFonts w:hint="eastAsia" w:ascii="仿宋_GB2312" w:eastAsia="仿宋_GB2312"/>
          <w:sz w:val="32"/>
          <w:szCs w:val="32"/>
        </w:rPr>
        <w:t>28.11%</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况：本年收入年初预算数5,986.27万元</w:t>
      </w:r>
      <w:r>
        <w:rPr>
          <w:rFonts w:hint="eastAsia" w:ascii="仿宋_GB2312" w:eastAsia="仿宋_GB2312"/>
          <w:sz w:val="32"/>
          <w:szCs w:val="32"/>
        </w:rPr>
        <w:t>，决算数2,406.72万元</w:t>
      </w:r>
      <w:r>
        <w:rPr>
          <w:rFonts w:ascii="仿宋_GB2312" w:eastAsia="仿宋_GB2312"/>
          <w:sz w:val="32"/>
          <w:szCs w:val="32"/>
        </w:rPr>
        <w:t>，预决算差异率-59.8%，差异主要原因是年初预算未减去18位调入乡镇人员工资、经费。</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2,406.72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805.65</w:t>
      </w:r>
      <w:r>
        <w:rPr>
          <w:rFonts w:hint="eastAsia" w:ascii="仿宋_GB2312" w:eastAsia="仿宋_GB2312"/>
          <w:color w:val="000000" w:themeColor="text1"/>
          <w:sz w:val="32"/>
          <w:szCs w:val="32"/>
        </w:rPr>
        <w:t>万元，占</w:t>
      </w:r>
      <w:r>
        <w:rPr>
          <w:rFonts w:hint="eastAsia" w:ascii="仿宋_GB2312" w:eastAsia="仿宋_GB2312"/>
          <w:sz w:val="32"/>
          <w:szCs w:val="32"/>
        </w:rPr>
        <w:t>33.48%</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1,601.07</w:t>
      </w:r>
      <w:r>
        <w:rPr>
          <w:rFonts w:hint="eastAsia" w:ascii="仿宋_GB2312" w:eastAsia="仿宋_GB2312"/>
          <w:color w:val="000000" w:themeColor="text1"/>
          <w:sz w:val="32"/>
          <w:szCs w:val="32"/>
        </w:rPr>
        <w:t>万元，占</w:t>
      </w:r>
      <w:r>
        <w:rPr>
          <w:rFonts w:hint="eastAsia" w:ascii="仿宋_GB2312" w:eastAsia="仿宋_GB2312"/>
          <w:sz w:val="32"/>
          <w:szCs w:val="32"/>
        </w:rPr>
        <w:t>66.52%</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与年初预算数相比情况：本年支出年初预算数5,986.27万元，</w:t>
      </w:r>
      <w:r>
        <w:rPr>
          <w:rFonts w:hint="eastAsia" w:ascii="仿宋_GB2312" w:eastAsia="仿宋_GB2312"/>
          <w:sz w:val="32"/>
          <w:szCs w:val="32"/>
        </w:rPr>
        <w:t>决算数2,406.72万元</w:t>
      </w:r>
      <w:r>
        <w:rPr>
          <w:rFonts w:ascii="仿宋_GB2312" w:eastAsia="仿宋_GB2312"/>
          <w:sz w:val="32"/>
          <w:szCs w:val="32"/>
        </w:rPr>
        <w:t>，预决算差异率-59.8%，差异主要原因是年初预算未减去18位调入乡镇人员工资、经费。</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1,730.18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，与上年相比，减少20,135.49万元，下降92.09%，减少的主要原因是：与上年相比，减少了农林水支出、农业综合开发支出、债务付息支出。</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1,730.18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，与上年相比，减少20,135.49万元，下降92.09%，减少的主要原因是：</w:t>
      </w:r>
      <w:r>
        <w:rPr>
          <w:rFonts w:ascii="仿宋_GB2312" w:eastAsia="仿宋_GB2312"/>
          <w:sz w:val="32"/>
          <w:szCs w:val="32"/>
        </w:rPr>
        <w:t>与上年相比，减少了农林水支出、农业综合开发支出、债务付息支出。</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805.65</w:t>
      </w:r>
      <w:r>
        <w:rPr>
          <w:rFonts w:hint="eastAsia" w:ascii="仿宋_GB2312" w:eastAsia="仿宋_GB2312"/>
          <w:color w:val="000000" w:themeColor="text1"/>
          <w:sz w:val="32"/>
          <w:szCs w:val="32"/>
        </w:rPr>
        <w:t>万元，项目支出</w:t>
      </w:r>
      <w:r>
        <w:rPr>
          <w:rFonts w:hint="eastAsia" w:ascii="仿宋_GB2312" w:eastAsia="仿宋_GB2312"/>
          <w:sz w:val="32"/>
          <w:szCs w:val="32"/>
        </w:rPr>
        <w:t>924.53</w:t>
      </w:r>
      <w:r>
        <w:rPr>
          <w:rFonts w:hint="eastAsia" w:ascii="仿宋_GB2312" w:eastAsia="仿宋_GB2312"/>
          <w:color w:val="000000" w:themeColor="text1"/>
          <w:sz w:val="32"/>
          <w:szCs w:val="32"/>
        </w:rPr>
        <w:t>万元。</w:t>
      </w:r>
      <w:bookmarkEnd w:id="29"/>
      <w:r>
        <w:rPr>
          <w:rFonts w:hint="eastAsia" w:ascii="仿宋_GB2312" w:eastAsia="仿宋_GB2312"/>
          <w:sz w:val="32"/>
          <w:szCs w:val="32"/>
        </w:rPr>
        <w:t>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bookmarkStart w:id="31" w:name="OLE_LINK62"/>
      <w:r>
        <w:rPr>
          <w:rFonts w:hint="eastAsia" w:ascii="仿宋_GB2312" w:eastAsia="仿宋_GB2312"/>
          <w:sz w:val="32"/>
          <w:szCs w:val="32"/>
        </w:rPr>
        <w:t>本年项目实施到位，未产生结余。</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5,986.27</w:t>
      </w:r>
      <w:r>
        <w:rPr>
          <w:rFonts w:hint="eastAsia" w:ascii="仿宋_GB2312" w:eastAsia="仿宋_GB2312"/>
          <w:color w:val="000000" w:themeColor="text1"/>
          <w:sz w:val="32"/>
          <w:szCs w:val="32"/>
        </w:rPr>
        <w:t>万元，决算数</w:t>
      </w:r>
      <w:r>
        <w:rPr>
          <w:rFonts w:hint="eastAsia" w:ascii="仿宋_GB2312" w:eastAsia="仿宋_GB2312"/>
          <w:sz w:val="32"/>
          <w:szCs w:val="32"/>
        </w:rPr>
        <w:t>1,730.18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，预决算差异率-71.1%，差异主要原因是年初预算未减去18位调入乡镇人员工资、经费。</w:t>
      </w:r>
      <w:bookmarkEnd w:id="31"/>
      <w:bookmarkStart w:id="32"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5,986.27</w:t>
      </w:r>
      <w:r>
        <w:rPr>
          <w:rFonts w:hint="eastAsia" w:ascii="仿宋_GB2312" w:eastAsia="仿宋_GB2312"/>
          <w:color w:val="000000" w:themeColor="text1"/>
          <w:sz w:val="32"/>
          <w:szCs w:val="32"/>
        </w:rPr>
        <w:t>万元，决算数</w:t>
      </w:r>
      <w:r>
        <w:rPr>
          <w:rFonts w:hint="eastAsia" w:ascii="仿宋_GB2312" w:eastAsia="仿宋_GB2312"/>
          <w:sz w:val="32"/>
          <w:szCs w:val="32"/>
        </w:rPr>
        <w:t>1,730.18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，预决算差异率-71.1%，差异主要原因是年初预算未减去18位调入乡镇人员工资、经费。</w:t>
      </w:r>
      <w:bookmarkEnd w:id="3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3" w:name="OLE_LINK64"/>
      <w:r>
        <w:rPr>
          <w:rFonts w:hint="eastAsia" w:ascii="仿宋_GB2312" w:eastAsia="仿宋_GB2312"/>
          <w:color w:val="000000" w:themeColor="text1"/>
          <w:sz w:val="32"/>
          <w:szCs w:val="32"/>
        </w:rPr>
        <w:t>2018年度</w:t>
      </w:r>
      <w:bookmarkStart w:id="34" w:name="OLE_LINK17"/>
      <w:r>
        <w:rPr>
          <w:rFonts w:hint="eastAsia" w:ascii="仿宋_GB2312" w:eastAsia="仿宋_GB2312"/>
          <w:color w:val="000000" w:themeColor="text1"/>
          <w:sz w:val="32"/>
          <w:szCs w:val="32"/>
        </w:rPr>
        <w:t>一般公共预算财政拨款收入</w:t>
      </w:r>
      <w:bookmarkEnd w:id="34"/>
      <w:r>
        <w:rPr>
          <w:rFonts w:ascii="仿宋_GB2312" w:eastAsia="仿宋_GB2312"/>
          <w:color w:val="000000" w:themeColor="text1"/>
          <w:sz w:val="32"/>
          <w:szCs w:val="32"/>
        </w:rPr>
        <w:t>1,730.18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，与上年相比，减少20,135.49万元，下降92.09%，减少的主要原因是：与上年相比，减少了农林水支出、农业综合开发支出、债务付息支出。</w:t>
      </w:r>
      <w:bookmarkEnd w:id="33"/>
      <w:bookmarkStart w:id="35" w:name="OLE_LINK18"/>
      <w:bookmarkStart w:id="36"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1,730.18</w:t>
      </w:r>
      <w:r>
        <w:rPr>
          <w:rFonts w:hint="eastAsia" w:ascii="仿宋_GB2312" w:eastAsia="仿宋_GB2312"/>
          <w:color w:val="000000" w:themeColor="text1"/>
          <w:sz w:val="32"/>
          <w:szCs w:val="32"/>
        </w:rPr>
        <w:t>万元</w:t>
      </w:r>
      <w:bookmarkEnd w:id="35"/>
      <w:r>
        <w:rPr>
          <w:rFonts w:hint="eastAsia" w:ascii="仿宋_GB2312" w:eastAsia="仿宋_GB2312"/>
          <w:sz w:val="32"/>
          <w:szCs w:val="32"/>
        </w:rPr>
        <w:t>，与上年相比，减少20,135.49万元，下降92.09%，减少的主要原因是：与上年相比，减少了农林水支出、农业综合开发支出、债务付息支出。</w:t>
      </w:r>
      <w:bookmarkEnd w:id="36"/>
      <w:r>
        <w:rPr>
          <w:rFonts w:hint="eastAsia" w:ascii="仿宋_GB2312" w:eastAsia="仿宋_GB2312"/>
          <w:color w:val="000000" w:themeColor="text1"/>
          <w:sz w:val="32"/>
          <w:szCs w:val="32"/>
        </w:rPr>
        <w:t>其中：</w:t>
      </w:r>
      <w:bookmarkStart w:id="37" w:name="OLE_LINK19"/>
      <w:r>
        <w:rPr>
          <w:rFonts w:hint="eastAsia" w:ascii="仿宋_GB2312" w:eastAsia="仿宋_GB2312"/>
          <w:color w:val="000000" w:themeColor="text1"/>
          <w:sz w:val="32"/>
          <w:szCs w:val="32"/>
        </w:rPr>
        <w:t>按功能分类科目（按类级科目公开）</w:t>
      </w:r>
      <w:bookmarkEnd w:id="37"/>
      <w:r>
        <w:rPr>
          <w:rFonts w:hint="eastAsia" w:ascii="仿宋_GB2312" w:eastAsia="仿宋_GB2312"/>
          <w:color w:val="000000" w:themeColor="text1"/>
          <w:sz w:val="32"/>
          <w:szCs w:val="32"/>
        </w:rPr>
        <w:t>，</w:t>
      </w:r>
      <w:r>
        <w:rPr>
          <w:rFonts w:hint="eastAsia" w:ascii="仿宋_GB2312" w:eastAsia="仿宋_GB2312"/>
          <w:sz w:val="32"/>
          <w:szCs w:val="32"/>
        </w:rPr>
        <w:t>住房保障支出50.99万元,一般公共服务支出804.15万元,农林水支出794.71万元,交通运输支出1.68万元,社会保障和就业支出78.64万元。</w:t>
      </w:r>
      <w:bookmarkStart w:id="38" w:name="OLE_LINK20"/>
      <w:bookmarkStart w:id="39" w:name="OLE_LINK21"/>
      <w:r>
        <w:rPr>
          <w:rFonts w:hint="eastAsia" w:ascii="仿宋_GB2312" w:eastAsia="仿宋_GB2312"/>
          <w:color w:val="000000" w:themeColor="text1"/>
          <w:sz w:val="32"/>
          <w:szCs w:val="32"/>
        </w:rPr>
        <w:t>按经济分类科目</w:t>
      </w:r>
      <w:bookmarkEnd w:id="38"/>
      <w:r>
        <w:rPr>
          <w:rFonts w:hint="eastAsia" w:ascii="仿宋_GB2312" w:eastAsia="仿宋_GB2312"/>
          <w:color w:val="000000" w:themeColor="text1"/>
          <w:sz w:val="32"/>
          <w:szCs w:val="32"/>
        </w:rPr>
        <w:t>（按类级科目公开）</w:t>
      </w:r>
      <w:bookmarkEnd w:id="39"/>
      <w:r>
        <w:rPr>
          <w:rFonts w:hint="eastAsia" w:ascii="仿宋_GB2312" w:eastAsia="仿宋_GB2312"/>
          <w:color w:val="000000" w:themeColor="text1"/>
          <w:sz w:val="32"/>
          <w:szCs w:val="32"/>
        </w:rPr>
        <w:t>，</w:t>
      </w:r>
      <w:r>
        <w:rPr>
          <w:rFonts w:hint="eastAsia" w:ascii="仿宋_GB2312" w:eastAsia="仿宋_GB2312"/>
          <w:sz w:val="32"/>
          <w:szCs w:val="32"/>
        </w:rPr>
        <w:t>工资福利支出707.99万元,商品和服务支出80.03万元,对个人和家庭的补助101.44万元,资本性支出46万元,对企业补助794.71万元。</w:t>
      </w:r>
    </w:p>
    <w:p>
      <w:pPr>
        <w:spacing w:line="540" w:lineRule="exact"/>
        <w:ind w:firstLine="640" w:firstLineChars="200"/>
        <w:rPr>
          <w:rFonts w:ascii="仿宋_GB2312" w:eastAsia="仿宋_GB2312"/>
          <w:color w:val="000000" w:themeColor="text1"/>
          <w:sz w:val="32"/>
          <w:szCs w:val="32"/>
        </w:rPr>
      </w:pPr>
      <w:bookmarkStart w:id="40" w:name="OLE_LINK67"/>
      <w:bookmarkStart w:id="41"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5,986.27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1,730.18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，预决算差异率-71.1%，差异主要原因是年初预算未减去18位调入乡镇人员工资、经费。</w:t>
      </w:r>
      <w:bookmarkEnd w:id="40"/>
      <w:bookmarkEnd w:id="41"/>
      <w:bookmarkStart w:id="42"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5,986.27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1,730.18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，预决算差异率-71.1%，差异主要原因是年初预算未减去18位调入乡镇人员工资、经费。</w:t>
      </w:r>
      <w:bookmarkEnd w:id="4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3" w:name="OLE_LINK69"/>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%。增减变化的主要原因是：无政府性基金收支。</w:t>
      </w:r>
      <w:bookmarkEnd w:id="43"/>
      <w:bookmarkStart w:id="44" w:name="OLE_LINK23"/>
      <w:bookmarkStart w:id="45" w:name="OLE_LINK70"/>
      <w:r>
        <w:rPr>
          <w:rFonts w:hint="eastAsia" w:ascii="仿宋_GB2312" w:eastAsia="仿宋_GB2312"/>
          <w:sz w:val="32"/>
          <w:szCs w:val="32"/>
        </w:rPr>
        <w:t>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%。增减变化的主要原因是：无政府性基金收支。</w:t>
      </w:r>
      <w:bookmarkEnd w:id="44"/>
      <w:bookmarkEnd w:id="45"/>
      <w:r>
        <w:rPr>
          <w:rFonts w:hint="eastAsia" w:ascii="仿宋_GB2312" w:eastAsia="仿宋_GB2312"/>
          <w:color w:val="000000" w:themeColor="text1"/>
          <w:sz w:val="32"/>
          <w:szCs w:val="32"/>
        </w:rPr>
        <w:t>其中：</w:t>
      </w:r>
      <w:bookmarkStart w:id="46" w:name="OLE_LINK24"/>
      <w:r>
        <w:rPr>
          <w:rFonts w:hint="eastAsia" w:ascii="仿宋_GB2312" w:eastAsia="仿宋_GB2312"/>
          <w:color w:val="000000" w:themeColor="text1"/>
          <w:sz w:val="32"/>
          <w:szCs w:val="32"/>
        </w:rPr>
        <w:t>按功能分类科目（按类级科目公开）</w:t>
      </w:r>
      <w:bookmarkEnd w:id="46"/>
      <w:r>
        <w:rPr>
          <w:rFonts w:hint="eastAsia" w:ascii="仿宋_GB2312" w:eastAsia="仿宋_GB2312"/>
          <w:color w:val="000000" w:themeColor="text1"/>
          <w:sz w:val="32"/>
          <w:szCs w:val="32"/>
        </w:rPr>
        <w:t>，</w:t>
      </w:r>
      <w:r>
        <w:rPr>
          <w:rFonts w:hint="eastAsia" w:ascii="仿宋_GB2312" w:eastAsia="仿宋_GB2312"/>
          <w:sz w:val="32"/>
          <w:szCs w:val="32"/>
        </w:rPr>
        <w:t>无政府性基金收支</w:t>
      </w:r>
      <w:r>
        <w:rPr>
          <w:rFonts w:hint="eastAsia" w:ascii="仿宋_GB2312" w:eastAsia="仿宋_GB2312"/>
          <w:color w:val="000000" w:themeColor="text1"/>
          <w:sz w:val="32"/>
          <w:szCs w:val="32"/>
        </w:rPr>
        <w:t>。按经济分类科目（按类级科目公开），</w:t>
      </w:r>
      <w:r>
        <w:rPr>
          <w:rFonts w:hint="eastAsia" w:ascii="仿宋_GB2312" w:eastAsia="仿宋_GB2312"/>
          <w:sz w:val="32"/>
          <w:szCs w:val="32"/>
        </w:rPr>
        <w:t>无政府性基金收支</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color w:val="000000" w:themeColor="text1"/>
          <w:sz w:val="32"/>
          <w:szCs w:val="32"/>
        </w:rPr>
      </w:pPr>
      <w:bookmarkStart w:id="47" w:name="OLE_LINK72"/>
      <w:bookmarkStart w:id="48"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w:t>
      </w:r>
      <w:r>
        <w:rPr>
          <w:rFonts w:hint="eastAsia" w:ascii="仿宋_GB2312" w:eastAsia="仿宋_GB2312"/>
          <w:sz w:val="32"/>
          <w:szCs w:val="32"/>
        </w:rPr>
        <w:t>无政府性基金收支</w:t>
      </w:r>
      <w:r>
        <w:rPr>
          <w:rFonts w:ascii="仿宋_GB2312" w:eastAsia="仿宋_GB2312"/>
          <w:color w:val="000000" w:themeColor="text1"/>
          <w:sz w:val="32"/>
          <w:szCs w:val="32"/>
        </w:rPr>
        <w:t>。</w:t>
      </w:r>
      <w:bookmarkEnd w:id="47"/>
      <w:bookmarkEnd w:id="48"/>
      <w:bookmarkStart w:id="49"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sz w:val="32"/>
          <w:szCs w:val="32"/>
        </w:rPr>
        <w:t>无政府性基金收支</w:t>
      </w:r>
      <w:r>
        <w:rPr>
          <w:rFonts w:ascii="仿宋_GB2312" w:eastAsia="仿宋_GB2312"/>
          <w:color w:val="000000" w:themeColor="text1"/>
          <w:sz w:val="32"/>
          <w:szCs w:val="32"/>
        </w:rPr>
        <w:t>。</w:t>
      </w:r>
      <w:bookmarkEnd w:id="49"/>
    </w:p>
    <w:p>
      <w:pPr>
        <w:numPr>
          <w:ilvl w:val="0"/>
          <w:numId w:val="1"/>
        </w:numPr>
        <w:spacing w:line="540" w:lineRule="exact"/>
        <w:ind w:firstLine="640" w:firstLineChars="200"/>
        <w:rPr>
          <w:rFonts w:hint="eastAsia" w:ascii="黑体" w:hAnsi="黑体" w:eastAsia="黑体"/>
          <w:color w:val="000000" w:themeColor="text1"/>
          <w:sz w:val="32"/>
          <w:szCs w:val="32"/>
        </w:rPr>
      </w:pPr>
      <w:r>
        <w:rPr>
          <w:rFonts w:hint="eastAsia" w:ascii="黑体" w:hAnsi="黑体" w:eastAsia="黑体"/>
          <w:color w:val="000000" w:themeColor="text1"/>
          <w:sz w:val="32"/>
          <w:szCs w:val="32"/>
        </w:rPr>
        <w:t>部门结转结余情况</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其中财政拨款结转结余</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numPr>
          <w:ilvl w:val="0"/>
          <w:numId w:val="1"/>
        </w:numPr>
        <w:spacing w:line="540" w:lineRule="exact"/>
        <w:ind w:left="0" w:leftChars="0" w:firstLine="640" w:firstLineChars="200"/>
        <w:rPr>
          <w:rFonts w:hint="eastAsia" w:ascii="黑体" w:hAnsi="黑体" w:eastAsia="黑体"/>
          <w:sz w:val="32"/>
          <w:szCs w:val="32"/>
        </w:rPr>
      </w:pPr>
      <w:r>
        <w:rPr>
          <w:rFonts w:hint="eastAsia" w:ascii="黑体" w:hAnsi="黑体" w:eastAsia="黑体"/>
          <w:sz w:val="32"/>
          <w:szCs w:val="32"/>
        </w:rPr>
        <w:t>一般公共预算“三公”经费支出情况</w:t>
      </w:r>
    </w:p>
    <w:p>
      <w:pPr>
        <w:numPr>
          <w:ilvl w:val="0"/>
          <w:numId w:val="0"/>
        </w:numPr>
        <w:spacing w:line="540" w:lineRule="exact"/>
        <w:ind w:leftChars="200"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14</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%，增加原因是单位能够严格执行中央八项规定及自治区十项规定要求，厉行勤俭节约。其中，因公出国（境）费支出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%，增加原因是本单位本年未安排此项预算；公务用车购置及运行维护费支出</w:t>
      </w:r>
      <w:r>
        <w:rPr>
          <w:rFonts w:hint="eastAsia" w:ascii="仿宋_GB2312" w:eastAsia="仿宋_GB2312"/>
          <w:sz w:val="32"/>
          <w:szCs w:val="32"/>
          <w:lang w:val="en-US" w:eastAsia="zh-CN"/>
        </w:rPr>
        <w:t>14</w:t>
      </w:r>
      <w:r>
        <w:rPr>
          <w:rFonts w:hint="eastAsia" w:ascii="仿宋_GB2312" w:eastAsia="仿宋_GB2312"/>
          <w:sz w:val="32"/>
          <w:szCs w:val="32"/>
        </w:rPr>
        <w:t>万元，占</w:t>
      </w:r>
      <w:r>
        <w:rPr>
          <w:rFonts w:hint="eastAsia" w:ascii="仿宋_GB2312" w:eastAsia="仿宋_GB2312"/>
          <w:sz w:val="32"/>
          <w:szCs w:val="32"/>
          <w:lang w:val="en-US" w:eastAsia="zh-CN"/>
        </w:rPr>
        <w:t>100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%，增加原因是单位能够严格执行中央八项规定及自治区十项规定要求，厉行勤俭节约。公务接待费支出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w:t>
      </w:r>
      <w:bookmarkStart w:id="69" w:name="_GoBack"/>
      <w:bookmarkEnd w:id="69"/>
      <w:r>
        <w:rPr>
          <w:rFonts w:hint="eastAsia" w:ascii="仿宋_GB2312" w:eastAsia="仿宋_GB2312"/>
          <w:sz w:val="32"/>
          <w:szCs w:val="32"/>
        </w:rPr>
        <w:t>原因是本单位本年未安排此项预算。具体情况如下：</w:t>
      </w:r>
    </w:p>
    <w:p>
      <w:pPr>
        <w:spacing w:line="540" w:lineRule="exact"/>
        <w:ind w:firstLine="640" w:firstLineChars="200"/>
        <w:rPr>
          <w:rFonts w:ascii="黑体" w:hAnsi="黑体" w:eastAsia="黑体"/>
          <w:sz w:val="32"/>
          <w:szCs w:val="32"/>
        </w:rPr>
      </w:pP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财政局</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人次。开支内容包括：本单位本年未安排此项预算。</w:t>
      </w:r>
    </w:p>
    <w:p>
      <w:pPr>
        <w:spacing w:line="540" w:lineRule="exact"/>
        <w:ind w:firstLine="640" w:firstLineChars="200"/>
        <w:rPr>
          <w:rFonts w:ascii="仿宋_GB2312" w:eastAsia="仿宋_GB2312"/>
          <w:color w:val="000000" w:themeColor="text1"/>
          <w:sz w:val="32"/>
          <w:szCs w:val="32"/>
        </w:rPr>
      </w:pPr>
      <w:bookmarkStart w:id="50"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14</w:t>
      </w:r>
      <w:r>
        <w:rPr>
          <w:rFonts w:hint="eastAsia" w:ascii="仿宋_GB2312" w:eastAsia="仿宋_GB2312"/>
          <w:color w:val="000000" w:themeColor="text1"/>
          <w:sz w:val="32"/>
          <w:szCs w:val="32"/>
        </w:rPr>
        <w:t>万元,其中，</w:t>
      </w:r>
      <w:bookmarkStart w:id="51"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51"/>
      <w:r>
        <w:rPr>
          <w:rFonts w:hint="eastAsia" w:ascii="仿宋_GB2312" w:eastAsia="仿宋_GB2312"/>
          <w:color w:val="000000" w:themeColor="text1"/>
          <w:sz w:val="32"/>
          <w:szCs w:val="32"/>
        </w:rPr>
        <w:t>，</w:t>
      </w:r>
      <w:bookmarkStart w:id="52" w:name="OLE_LINK41"/>
      <w:bookmarkStart w:id="53"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14</w:t>
      </w:r>
      <w:r>
        <w:rPr>
          <w:rFonts w:hint="eastAsia" w:ascii="仿宋_GB2312" w:eastAsia="仿宋_GB2312"/>
          <w:color w:val="000000" w:themeColor="text1"/>
          <w:sz w:val="32"/>
          <w:szCs w:val="32"/>
        </w:rPr>
        <w:t>万元</w:t>
      </w:r>
      <w:bookmarkEnd w:id="52"/>
      <w:bookmarkEnd w:id="53"/>
      <w:r>
        <w:rPr>
          <w:rFonts w:hint="eastAsia" w:ascii="仿宋_GB2312" w:eastAsia="仿宋_GB2312"/>
          <w:color w:val="000000" w:themeColor="text1"/>
          <w:sz w:val="32"/>
          <w:szCs w:val="32"/>
        </w:rPr>
        <w:t>。主要用于</w:t>
      </w:r>
      <w:r>
        <w:rPr>
          <w:rFonts w:hint="eastAsia" w:ascii="仿宋_GB2312" w:eastAsia="仿宋_GB2312"/>
          <w:sz w:val="32"/>
          <w:szCs w:val="32"/>
        </w:rPr>
        <w:t>单位能够严格执行中央八项规定及自治区十项规定要求，厉行勤俭节约。</w:t>
      </w:r>
      <w:r>
        <w:rPr>
          <w:rFonts w:hint="eastAsia" w:ascii="仿宋_GB2312" w:eastAsia="仿宋_GB2312"/>
          <w:color w:val="000000" w:themeColor="text1"/>
          <w:sz w:val="32"/>
          <w:szCs w:val="32"/>
        </w:rPr>
        <w:t>等。</w:t>
      </w:r>
      <w:bookmarkEnd w:id="50"/>
      <w:bookmarkStart w:id="54"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54"/>
    </w:p>
    <w:p>
      <w:pPr>
        <w:spacing w:line="540" w:lineRule="exact"/>
        <w:ind w:firstLine="640" w:firstLineChars="200"/>
        <w:rPr>
          <w:rFonts w:ascii="仿宋_GB2312" w:eastAsia="仿宋_GB2312"/>
          <w:color w:val="000000" w:themeColor="text1"/>
          <w:sz w:val="32"/>
          <w:szCs w:val="32"/>
        </w:rPr>
      </w:pPr>
      <w:bookmarkStart w:id="55"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本单位本年未安排此项预算</w:t>
      </w:r>
      <w:r>
        <w:rPr>
          <w:rFonts w:hint="eastAsia" w:ascii="仿宋_GB2312" w:eastAsia="仿宋_GB2312"/>
          <w:color w:val="000000" w:themeColor="text1"/>
          <w:sz w:val="32"/>
          <w:szCs w:val="32"/>
        </w:rPr>
        <w:t>等。</w:t>
      </w:r>
      <w:bookmarkEnd w:id="55"/>
      <w:bookmarkStart w:id="56" w:name="OLE_LINK84"/>
      <w:r>
        <w:rPr>
          <w:rFonts w:hint="eastAsia" w:ascii="仿宋_GB2312" w:eastAsia="仿宋_GB2312"/>
          <w:sz w:val="32"/>
          <w:szCs w:val="32"/>
        </w:rPr>
        <w:t>新疆喀什地区英吉沙县财政局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56"/>
    </w:p>
    <w:p>
      <w:pPr>
        <w:spacing w:line="540" w:lineRule="exact"/>
        <w:ind w:firstLine="640" w:firstLineChars="200"/>
        <w:rPr>
          <w:rFonts w:ascii="仿宋_GB2312" w:hAnsi="宋体" w:eastAsia="仿宋_GB2312" w:cs="宋体"/>
          <w:color w:val="000000" w:themeColor="text1"/>
          <w:kern w:val="0"/>
          <w:sz w:val="32"/>
          <w:szCs w:val="32"/>
        </w:rPr>
      </w:pPr>
      <w:bookmarkStart w:id="57"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14</w:t>
      </w:r>
      <w:r>
        <w:rPr>
          <w:rFonts w:hint="eastAsia" w:ascii="仿宋_GB2312" w:eastAsia="仿宋_GB2312"/>
          <w:color w:val="000000" w:themeColor="text1"/>
          <w:sz w:val="32"/>
          <w:szCs w:val="32"/>
        </w:rPr>
        <w:t>万元，决算数14万元</w:t>
      </w:r>
      <w:r>
        <w:rPr>
          <w:rFonts w:ascii="仿宋_GB2312" w:eastAsia="仿宋_GB2312"/>
          <w:color w:val="000000" w:themeColor="text1"/>
          <w:sz w:val="32"/>
          <w:szCs w:val="32"/>
        </w:rPr>
        <w:t>，预决算差异率0%，差异主要原因是单位能够严格执行中央八项规定及自治区十项规定要求，厉行勤俭节约。</w:t>
      </w:r>
      <w:bookmarkEnd w:id="57"/>
      <w:bookmarkStart w:id="58" w:name="OLE_LINK86"/>
      <w:bookmarkStart w:id="59"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，预决算差异率0%，差异主要原因是本单位本年未安排此项预算；</w:t>
      </w:r>
      <w:bookmarkEnd w:id="58"/>
      <w:bookmarkEnd w:id="59"/>
      <w:bookmarkStart w:id="60" w:name="OLE_LINK89"/>
      <w:bookmarkStart w:id="61"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，预决算差异率0%，差异主要原因是本单位本年未安排此项预算；</w:t>
      </w:r>
      <w:bookmarkEnd w:id="60"/>
      <w:bookmarkEnd w:id="61"/>
      <w:bookmarkStart w:id="62"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，预决算差异率0%，差异主要原因是单位能够严格执行中央八项规定及自治区十项规定要求，厉行勤俭节约；</w:t>
      </w:r>
      <w:bookmarkEnd w:id="62"/>
      <w:bookmarkStart w:id="63"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63"/>
      <w:r>
        <w:rPr>
          <w:rFonts w:ascii="仿宋_GB2312" w:eastAsia="仿宋_GB2312"/>
          <w:color w:val="000000" w:themeColor="text1"/>
          <w:sz w:val="32"/>
          <w:szCs w:val="32"/>
        </w:rPr>
        <w:t>本单位本年未安排此项预算。</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财政局机关运行经费支出58.38万元，与上年相比，增加0.01万元，增长0.02%，增加的主要原因是：主要是因为我单位2018年成立会计委派工作，新增24人，各项公用经费增加，同时调整了基本工资。</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64" w:name="OLE_LINK45"/>
      <w:r>
        <w:rPr>
          <w:rFonts w:hint="eastAsia" w:ascii="仿宋_GB2312" w:eastAsia="仿宋_GB2312"/>
          <w:color w:val="000000" w:themeColor="text1"/>
          <w:sz w:val="32"/>
          <w:szCs w:val="32"/>
        </w:rPr>
        <w:t>政府采购支出总额</w:t>
      </w:r>
      <w:bookmarkEnd w:id="64"/>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65" w:name="OLE_LINK46"/>
      <w:r>
        <w:rPr>
          <w:rFonts w:hint="eastAsia" w:ascii="仿宋_GB2312" w:eastAsia="仿宋_GB2312"/>
          <w:color w:val="000000" w:themeColor="text1"/>
          <w:sz w:val="32"/>
          <w:szCs w:val="32"/>
        </w:rPr>
        <w:t>政府采购货物支出</w:t>
      </w:r>
      <w:bookmarkEnd w:id="6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66" w:name="OLE_LINK47"/>
      <w:r>
        <w:rPr>
          <w:rFonts w:hint="eastAsia" w:ascii="仿宋_GB2312" w:eastAsia="仿宋_GB2312"/>
          <w:color w:val="000000" w:themeColor="text1"/>
          <w:sz w:val="32"/>
          <w:szCs w:val="32"/>
        </w:rPr>
        <w:t>政府采购工程支出</w:t>
      </w:r>
      <w:bookmarkEnd w:id="66"/>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67" w:name="OLE_LINK48"/>
      <w:r>
        <w:rPr>
          <w:rFonts w:hint="eastAsia" w:ascii="仿宋_GB2312" w:eastAsia="仿宋_GB2312"/>
          <w:color w:val="000000" w:themeColor="text1"/>
          <w:sz w:val="32"/>
          <w:szCs w:val="32"/>
        </w:rPr>
        <w:t>政府采购服务支出</w:t>
      </w:r>
      <w:bookmarkEnd w:id="67"/>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68"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70.7</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hint="eastAsia" w:ascii="仿宋_GB2312" w:eastAsia="仿宋_GB2312"/>
          <w:color w:val="000000" w:themeColor="text1"/>
          <w:sz w:val="32"/>
          <w:szCs w:val="32"/>
          <w:lang w:val="en-US" w:eastAsia="zh-CN"/>
        </w:rPr>
        <w:t>2</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hint="eastAsia" w:ascii="仿宋_GB2312" w:eastAsia="仿宋_GB2312"/>
          <w:color w:val="000000" w:themeColor="text1"/>
          <w:sz w:val="32"/>
          <w:szCs w:val="32"/>
          <w:lang w:val="en-US" w:eastAsia="zh-CN"/>
        </w:rPr>
        <w:t>2</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下乡检查用车</w:t>
      </w:r>
      <w:r>
        <w:rPr>
          <w:rFonts w:ascii="仿宋_GB2312" w:eastAsia="仿宋_GB2312"/>
          <w:color w:val="000000" w:themeColor="text1"/>
          <w:sz w:val="32"/>
          <w:szCs w:val="32"/>
        </w:rPr>
        <w:t>；</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1</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6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财政局2018年度部门预算总额为1601.07万元，执行金额为1601.07万元，预算执行率为100%。本次自评共涉及项目数9个，其中已完成项目9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英吉沙县邮政分公司农民投递员专项补贴项目绩效自评综述：根据年初设定的绩效目标，该项目绩效自评得分为96分。项目全年预算数为1.68万元，执行数为1.68万元，完成预算的100%。主要产出和效果：将报刊信件及时送达农民群众手中，方便群众同时传播党的声音。发现的问题及原因：我单位绩效监控工作组织管理中主要存在绩效监控计划及方案的制定还不够科学合理的问题。下一步改进措施： 要积极探索建立适合本部门实际情况的绩效运行监控管理机制，定期采集绩效运行信息并汇总分析，对绩效目标运行情况进行跟踪管理和督促检查，促进绩效目标的顺利实现。</w:t>
      </w:r>
    </w:p>
    <w:p>
      <w:pPr>
        <w:spacing w:line="540" w:lineRule="exact"/>
        <w:ind w:left="-1" w:right="-1" w:firstLine="646"/>
        <w:jc w:val="left"/>
      </w:pPr>
      <w:r>
        <w:rPr>
          <w:rFonts w:ascii="仿宋_GB2312" w:hAnsi="仿宋_GB2312" w:eastAsia="仿宋_GB2312" w:cs="仿宋_GB2312"/>
          <w:b w:val="0"/>
          <w:color w:val="000000"/>
          <w:sz w:val="32"/>
          <w:u w:val="none"/>
        </w:rPr>
        <w:t>2、英吉沙县2018年种植业养殖业农业保险保费补贴项目绩效自评综述：根据年初设定的绩效目标，该项目绩效自评得分为96分。项目全年预算数为624.71万元，执行数为624.71万元，完成预算的100%。主要产出和效果：目标1：引导和支持农户参加农业保险。
目标2：主要保障关系国计民生和粮食安全的大宗农产品，重点支持农业生产环节。
目标3：不断扩大农业保险覆盖面和风险保障水平，逐步建立市场化的农业生产风险防范化解机制。
目标4：稳</w:t>
      </w:r>
      <w:r>
        <w:rPr>
          <w:rFonts w:hint="eastAsia" w:ascii="仿宋_GB2312" w:hAnsi="仿宋_GB2312" w:eastAsia="仿宋_GB2312" w:cs="仿宋_GB2312"/>
          <w:b w:val="0"/>
          <w:color w:val="000000"/>
          <w:sz w:val="32"/>
          <w:u w:val="none"/>
          <w:lang w:eastAsia="zh-CN"/>
        </w:rPr>
        <w:t>固</w:t>
      </w:r>
      <w:r>
        <w:rPr>
          <w:rFonts w:ascii="仿宋_GB2312" w:hAnsi="仿宋_GB2312" w:eastAsia="仿宋_GB2312" w:cs="仿宋_GB2312"/>
          <w:b w:val="0"/>
          <w:color w:val="000000"/>
          <w:sz w:val="32"/>
          <w:u w:val="none"/>
        </w:rPr>
        <w:t>农业生产，保障农民收入。发现的问题及原因：一是农业保险承保机构的工作能力和业务水平不足。
二是农业保险宣传力度不够。下一步改进措施： 一是农业保险承保机构要为农户详细解释保险投保、理赔的过程，具体的程序。让投保农户清楚正常的理赔时间程序。
二是进一步提升农业保险承保机构的工作能力和业务水平，做到让投保农户尽可能的满意。
三是加大农业保险宣传力度。利用每周一的时候，农业部门、和保险公司应深入农村中去，一边开展形象生动的宣传活动，以增强农民的保险意识提高农险的有效需求；一边进行细致的调查，了解农民的需求，以提供出合适的农业险种，制定出双方都能接受的保险费率。</w:t>
      </w:r>
    </w:p>
    <w:p>
      <w:pPr>
        <w:spacing w:line="540" w:lineRule="exact"/>
        <w:ind w:left="-1" w:right="-1" w:firstLine="646"/>
        <w:jc w:val="left"/>
      </w:pPr>
      <w:r>
        <w:rPr>
          <w:rFonts w:ascii="仿宋_GB2312" w:hAnsi="仿宋_GB2312" w:eastAsia="仿宋_GB2312" w:cs="仿宋_GB2312"/>
          <w:b w:val="0"/>
          <w:color w:val="000000"/>
          <w:sz w:val="32"/>
          <w:u w:val="none"/>
        </w:rPr>
        <w:t>3、英吉沙县2500亩优质色买提杏种植生产及加工示范基地建设项目绩效自评综述：根据年初设定的绩效目标，该项目绩效自评得分为96分。项目全年预算数为86.92万元，执行数为86.92万元，完成预算的100%。主要产出和效果：英吉沙县乌恰乡作为全县色买提杏种植大乡，项目实施后，农民专业合作社2500亩杏子基地杏子生产加工可全面实现机械化，科学化，同时还可带动6500户，从提高色买提杏种植、加工的角度，年度生产能力达到5000吨，具备冷藏果品500度，实现年产值800万元以上，进一步增加了色买提杏商品价值。发现的问题及原因：该项目充分利用当地盛产色买提杏的优势，先就地进行初加工，再经深加工转化为成品，使得杏就地增值，可极大地提高农民种色买提杏的积极性。项目单位具有承办项目的经济、技术和经营能力，厂址选择合理，建设条件具备；项目生产技术先进，设备选择经济合理；厂区平面布置符合规划要求。财务效益分析表明，项目财务内部收益率高于项目基准收益率，投资回收期较短，在财务上具有一定的抗风险能力。下一步改进措施： 一方面加强管理，建立目标管理责任，强化质量意识。另一方面加强技术投入，与技术依托单位紧密合作，生产出优质的产品，保证生产技术的先进性。本项目工程建设中应多听取有关专家的意见和建议，有关论证、设计、施工要紧密配合，对于建设过程中的出现的问题应用科学的方法进行分析、比较、论证。在设计和施工中，吸取国内食品加工标准生产车间的建设经验，采用合理、可行、有效的技术手段，确保工程的顺利建成。</w:t>
      </w:r>
    </w:p>
    <w:p>
      <w:pPr>
        <w:spacing w:line="540" w:lineRule="exact"/>
        <w:ind w:left="-1" w:right="-1" w:firstLine="646"/>
        <w:jc w:val="left"/>
      </w:pPr>
      <w:r>
        <w:rPr>
          <w:rFonts w:ascii="仿宋_GB2312" w:hAnsi="仿宋_GB2312" w:eastAsia="仿宋_GB2312" w:cs="仿宋_GB2312"/>
          <w:b w:val="0"/>
          <w:color w:val="000000"/>
          <w:sz w:val="32"/>
          <w:u w:val="none"/>
        </w:rPr>
        <w:t>4、英吉沙县2018年国家农业综合开发产业化发展中央财政贷款贴息项目绩效自评综述：根据年初设定的绩效目标，该项目绩效自评得分为95分。项目全年预算数为170万元，执行数为170万元，完成预算的100%。主要产出和效果：补助对英吉沙县神恋有机食品有限责任公司英吉沙县2018年国家农业综合开发产业化发展中央财政贷款贴息170万元。发现的问题及原因：该项目充分利用当地盛产色买提杏的优势，先就地进行初加工，再经深加工转化为成品，使得杏就地增值，可极大地提高农民种色买提杏的积极性。项目单位具有承办项目的经济、技术和经营能力，厂址选择合理，建设条件具备；项目生产技术先进，设备选择经济合理；厂区平面布置符合规划要求。财务效益分析表明，项目财务内部收益率高于项目基准收益率，投资回收期较短，在财务上具有一定的抗风险能力。下一步改进措施： 一方面加强管理，建立目标管理责任，强化质量意识。另一方面加强技术投入，与技术依托单位紧密合作，生产出优质的产品，保证生产技术的先进性。本项目工程建设中应多听取有关专家的意见和建议，有关论证、设计、施工要紧密配合，对于建设过程中的出现的问题应用科学的方法进行分析、比较、论证。在设计和施工中，吸取国内食品加工标准生产车间的建设经验，采用合理、可行、有效的技术手段，确保工程的顺利建成。</w:t>
      </w:r>
    </w:p>
    <w:p>
      <w:pPr>
        <w:spacing w:line="540" w:lineRule="exact"/>
        <w:ind w:left="-1" w:right="-1" w:firstLine="646"/>
        <w:jc w:val="left"/>
      </w:pPr>
      <w:r>
        <w:rPr>
          <w:rFonts w:ascii="仿宋_GB2312" w:hAnsi="仿宋_GB2312" w:eastAsia="仿宋_GB2312" w:cs="仿宋_GB2312"/>
          <w:b w:val="0"/>
          <w:color w:val="000000"/>
          <w:sz w:val="32"/>
          <w:u w:val="none"/>
        </w:rPr>
        <w:t>5、0.5万亩高标准农田建设项目绩效自评综述：根据年初设定的绩效目标，该项目绩效自评得分为90分。项目全年预算数为522.62万元，执行数为522.62万元，完成预算的100%。主要产出和效果：按照项目的建设指导思想和目标，根据因地制宜、分期实施的原则，充分考虑作物种类，以及土壤条件和工程实施主体的不同进行总体分区布局。项目区经过30多年的改造，目前田、林、路、灌排渠系和居民点等已形成了一套完整的体系。渠线的布置和选择应充分结合灌区现状，使所选的渠线符合灌区的发展和规划。主要建设内容为修建防渗渠道65.42公里、配套渠系建筑物595座、硬化田间道路33.3公里、营造农田防护林带900亩、项目区农民技术培训5000人次。发现的问题及原因：（1）我县农业综合开发项目基本完成上级部门下达的各项任务。但还存在竣工项目后期管护不利，农田水利设施配套不完善，经济效益和社会效益较低。今后我县将积极整改工作中存在的不足，加强项目管理，认真领会国家和自治区相关文件精神，在保证项目质量的前提下，加快工期，使项目建设按期、高质量完成。努力更好地完成开发建设任务。
（2）设计院对土地治理项目现场勘查设计工作不太细，施工过程中发生变更情况。
（3）农业综合开发项目宣传工作不到位。
（4）审计部门对年度项目竣工决算审核较慢，影响对年度项目绩效评价工作。下一步改进措施： 进一步强化农发管理机构的精细化管理，加强农业综合开发项目资金的监督检查。加大对农业综合开发项目资金管理和使用情况的监督检查力度，通过对项目资金筹集、拨付和使用等各个环节的监督检查，确保项目资金管理安全、运行规范、使用高效。</w:t>
      </w:r>
    </w:p>
    <w:p>
      <w:pPr>
        <w:spacing w:line="540" w:lineRule="exact"/>
        <w:ind w:left="-1" w:right="-1" w:firstLine="646"/>
        <w:jc w:val="left"/>
      </w:pPr>
      <w:r>
        <w:rPr>
          <w:rFonts w:ascii="仿宋_GB2312" w:hAnsi="仿宋_GB2312" w:eastAsia="仿宋_GB2312" w:cs="仿宋_GB2312"/>
          <w:b w:val="0"/>
          <w:color w:val="000000"/>
          <w:sz w:val="32"/>
          <w:u w:val="none"/>
        </w:rPr>
        <w:t>6、苏盖提乡、英叶乡各0.5万亩高标准农田建设项目绩效自评综述：根据年初设定的绩效目标，该项目绩效自评得分为91分。项目全年预算数为67万元，执行数为67万元，完成预算的100%。主要产出和效果：按照项目的建设指导思想和目标，根据因地制宜、分期实施的原则，充分考虑作物种类，以及土壤条件和工程实施主体的不同进行总体分区布局。项目区经过30多年的改造，目前田、林、路、灌排渠系和居民点等已形成了一套完整的体系。渠线的布置和选择应充分结合灌区现状，使所选的渠线符合灌区的发展和规划。主要建设内容为修建防渗渠道1.5公里、配套渠系建筑物7座.发现的问题及原因：（1）我县农业综合开发项目基本完成上级部门下达的各项任务。但还存在竣工项目后期管护不利，农田水利设施配套不完善，经济效益和社会效益较低。今后我县将积极整改工作中存在的不足，加强项目管理，认真领会国家和自治区相关文件精神，在保证项目质量的前提下，加快工期，使项目建设按期、高质量完成。努力更好地完成开发建设任务。
（2）设计院对土地治理项目现场勘查设计工作不太细，施工过程中发生变更情况。
（3）农业综合开发项目宣传工作不到位。
（4）审计部门对年度项目竣工决算审核较慢，影响对年度项目绩效评价工作。
（5）进一步强化农发管理机构的精细化管理，加强农业综合开发项目资金的监督检查。加大对农业综合开发项目资金管理和使用情况的监督检查力度，通过对项目资金筹集、拨付和使用等各个环节的监督检查，确保项目资金管理安全、运行规范、使用高效。下一步改进措施： 目前项目已完成防渗渠道14.58公里、配套渠系建筑物106座、硬化机耕道路8.5公里、营造农田防护林带200亩，正在竣工审计中。</w:t>
      </w:r>
    </w:p>
    <w:p>
      <w:pPr>
        <w:spacing w:line="540" w:lineRule="exact"/>
        <w:ind w:left="-1" w:right="-1" w:firstLine="646"/>
        <w:jc w:val="left"/>
      </w:pPr>
      <w:r>
        <w:rPr>
          <w:rFonts w:ascii="仿宋_GB2312" w:hAnsi="仿宋_GB2312" w:eastAsia="仿宋_GB2312" w:cs="仿宋_GB2312"/>
          <w:b w:val="0"/>
          <w:color w:val="000000"/>
          <w:sz w:val="32"/>
          <w:u w:val="none"/>
        </w:rPr>
        <w:t>7、国家税务总局英吉沙县税务局委托代征税款手续费项目绩效自评综述：根据年初设定的绩效目标，该项目绩效自评得分为92分。项目全年预算数为18.65万元，执行数为18.65万元，完成预算的100%。主要产出和效果：方便纳税人办理业务，提升纳税人办事效率。发现的问题及原因：绩效监控计划及方案的制定还不够科学合理。下一步改进措施： 要积极探索建立适合本部门实际情况的绩效运行监控管理机制，定期采集绩效运行信息并汇总分析，对绩效目标运行情况进行跟踪管理和督促检查，促进绩效目标的顺利实现。</w:t>
      </w:r>
    </w:p>
    <w:p>
      <w:pPr>
        <w:spacing w:line="540" w:lineRule="exact"/>
        <w:ind w:left="-1" w:right="-1" w:firstLine="646"/>
        <w:jc w:val="left"/>
      </w:pPr>
      <w:r>
        <w:rPr>
          <w:rFonts w:ascii="仿宋_GB2312" w:hAnsi="仿宋_GB2312" w:eastAsia="仿宋_GB2312" w:cs="仿宋_GB2312"/>
          <w:b w:val="0"/>
          <w:color w:val="000000"/>
          <w:sz w:val="32"/>
          <w:u w:val="none"/>
        </w:rPr>
        <w:t>8、2018年委派会计工作补贴项目绩效自评综述：根据年初设定的绩效目标，该项目绩效自评得分为96分。项目全年预算数为63.48万元，执行数为63.48万元，完成预算的100%。主要产出和效果：不断提高干部工作效率和服务水平，更好的开展财政工作，切实提高乡镇财务管理工作水平。发现的问题及原因：绩效监控计划及方案的制定还不够科学合理，因财务人员抽调其他单位，还未及时补充，造成部分工作滞后。下一步改进措施： 完善管理机制，逐步扩大项目资金绩效运行监控范围，做到财政资金运行到哪里，绩效监控就跟踪到哪里，以不断提高财政资金运行效率，防范财政资金运行风险。要加强对项目实施过程中绩效目标实现情况的监督和控制，及时掌握项目绩效目标的完成情况、项目实施进程和资金支出进度。</w:t>
      </w:r>
    </w:p>
    <w:p>
      <w:pPr>
        <w:spacing w:line="540" w:lineRule="exact"/>
        <w:ind w:left="-1" w:right="-1" w:firstLine="646"/>
        <w:jc w:val="left"/>
      </w:pPr>
      <w:r>
        <w:rPr>
          <w:rFonts w:ascii="仿宋_GB2312" w:hAnsi="仿宋_GB2312" w:eastAsia="仿宋_GB2312" w:cs="仿宋_GB2312"/>
          <w:b w:val="0"/>
          <w:color w:val="000000"/>
          <w:sz w:val="32"/>
          <w:u w:val="none"/>
        </w:rPr>
        <w:t>9、英吉沙县财政信息化建设项目绩效自评综述：根据年初设定的绩效目标，该项目绩效自评得分为96分。项目全年预算数为46万元，执行数为46万元，完成预算的100%。主要产出和效果：对财政资金支付活动进行全过程动态监控，发现查处违规违纪问题，纠正预算执行偏差，保障财政管理与改革有序进行。发现的问题及原因：项目组织实施总体上与目标无差异，无偏离。下一步改进措施： 本项目执行不存在偏离，无纠偏措施。</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06（款）99（项）指：其他农业综合开发支出。213（类）08（款）03（项）指：农业保险保费补贴。213（类）06（款）02（项）指：土地治理。221（类）02（款）01（项）指：住房公积金。213（类）05（款）04（项）指：农村基础设施建设。213（类）06（款）03（项）指：产业化发展。201（类）06（款）07（项）指：信息化建设。201（类）07（款）06（项）指：代扣代收代征税款手续费。208（类）05（款）05（项）指：机关事业单位基本养老保险缴费支出。201（类）06（款）99（项）指：其他财政事务支出。201（类）07（款）01（项）指：行政运行。214（类）05（款）99（项）指：其他邮政业支出。201（类）06（款）01（项）指：行政运行。201（类）13（款）08（项）指：招商引资。201（类）06（款）50（项）指：事业运行。</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英吉沙县财政局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033EDA"/>
    <w:multiLevelType w:val="singleLevel"/>
    <w:tmpl w:val="7C033ED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8EE55E0"/>
    <w:rsid w:val="09725983"/>
    <w:rsid w:val="0A382BB5"/>
    <w:rsid w:val="0AA4543A"/>
    <w:rsid w:val="0BE61132"/>
    <w:rsid w:val="0C9B0DD6"/>
    <w:rsid w:val="0CE4791C"/>
    <w:rsid w:val="0E063C64"/>
    <w:rsid w:val="0F4C7B96"/>
    <w:rsid w:val="0FFB575E"/>
    <w:rsid w:val="10845F1B"/>
    <w:rsid w:val="11463A00"/>
    <w:rsid w:val="11600918"/>
    <w:rsid w:val="11B0398F"/>
    <w:rsid w:val="13B960C5"/>
    <w:rsid w:val="14C10C40"/>
    <w:rsid w:val="152777F4"/>
    <w:rsid w:val="15C674B6"/>
    <w:rsid w:val="18D54A0D"/>
    <w:rsid w:val="1A4106A0"/>
    <w:rsid w:val="1A4F5437"/>
    <w:rsid w:val="1AB77CD0"/>
    <w:rsid w:val="1BE9243F"/>
    <w:rsid w:val="1DEB1912"/>
    <w:rsid w:val="1E807156"/>
    <w:rsid w:val="1EA657F6"/>
    <w:rsid w:val="1F097CB6"/>
    <w:rsid w:val="1F7C6DAC"/>
    <w:rsid w:val="2166156B"/>
    <w:rsid w:val="21B02D83"/>
    <w:rsid w:val="22A236F5"/>
    <w:rsid w:val="23995975"/>
    <w:rsid w:val="2432220E"/>
    <w:rsid w:val="248303BA"/>
    <w:rsid w:val="24837E47"/>
    <w:rsid w:val="24975D94"/>
    <w:rsid w:val="252E01AA"/>
    <w:rsid w:val="2680023E"/>
    <w:rsid w:val="29680352"/>
    <w:rsid w:val="2A020F75"/>
    <w:rsid w:val="2A6E1236"/>
    <w:rsid w:val="2B007AEE"/>
    <w:rsid w:val="2BC14C56"/>
    <w:rsid w:val="2C1B026F"/>
    <w:rsid w:val="2CC61F55"/>
    <w:rsid w:val="2EF7452F"/>
    <w:rsid w:val="2F1D13B4"/>
    <w:rsid w:val="2FAA3DA6"/>
    <w:rsid w:val="30682E1F"/>
    <w:rsid w:val="30E210D2"/>
    <w:rsid w:val="311371D6"/>
    <w:rsid w:val="31EB64C9"/>
    <w:rsid w:val="336D0D6F"/>
    <w:rsid w:val="347F3BFA"/>
    <w:rsid w:val="352E4BEC"/>
    <w:rsid w:val="37DD5594"/>
    <w:rsid w:val="38F24FA8"/>
    <w:rsid w:val="3A98342A"/>
    <w:rsid w:val="3AB6780E"/>
    <w:rsid w:val="3AD56D70"/>
    <w:rsid w:val="3B2920C2"/>
    <w:rsid w:val="3B836BAE"/>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233F74"/>
    <w:rsid w:val="51457139"/>
    <w:rsid w:val="51574DBD"/>
    <w:rsid w:val="51EC1DA8"/>
    <w:rsid w:val="52FC5524"/>
    <w:rsid w:val="532D7A17"/>
    <w:rsid w:val="54AF4562"/>
    <w:rsid w:val="54C9674B"/>
    <w:rsid w:val="556318EA"/>
    <w:rsid w:val="55A60AA1"/>
    <w:rsid w:val="56451615"/>
    <w:rsid w:val="57FC5774"/>
    <w:rsid w:val="58B907F4"/>
    <w:rsid w:val="59B332C9"/>
    <w:rsid w:val="5A44758A"/>
    <w:rsid w:val="5BEC4BB3"/>
    <w:rsid w:val="5C070B55"/>
    <w:rsid w:val="5CB96DCE"/>
    <w:rsid w:val="5CE61580"/>
    <w:rsid w:val="5D175666"/>
    <w:rsid w:val="5D251C8C"/>
    <w:rsid w:val="5D556A3C"/>
    <w:rsid w:val="5D7B25C9"/>
    <w:rsid w:val="5ECB44B4"/>
    <w:rsid w:val="5EE2043C"/>
    <w:rsid w:val="5FA65D3F"/>
    <w:rsid w:val="602D2E37"/>
    <w:rsid w:val="61460FBE"/>
    <w:rsid w:val="62775810"/>
    <w:rsid w:val="62D83744"/>
    <w:rsid w:val="630F4048"/>
    <w:rsid w:val="63AA02E5"/>
    <w:rsid w:val="63C654D3"/>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2021-06-04T13:21:37Z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